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A" w:rsidRPr="002B215F" w:rsidRDefault="005941BA" w:rsidP="005941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B215F">
        <w:rPr>
          <w:rFonts w:ascii="Times New Roman" w:hAnsi="Times New Roman"/>
          <w:b/>
          <w:sz w:val="24"/>
          <w:szCs w:val="24"/>
        </w:rPr>
        <w:t xml:space="preserve">. 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</w:t>
      </w:r>
      <w:r w:rsidRPr="002B215F">
        <w:rPr>
          <w:rFonts w:ascii="Times New Roman" w:hAnsi="Times New Roman"/>
          <w:b/>
          <w:sz w:val="24"/>
          <w:szCs w:val="24"/>
        </w:rPr>
        <w:t>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«Профессиональные болезни»  </w:t>
      </w:r>
    </w:p>
    <w:p w:rsidR="005941BA" w:rsidRDefault="005941BA" w:rsidP="005941BA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5941BA" w:rsidRDefault="005941BA" w:rsidP="0059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 xml:space="preserve">102 </w:t>
      </w:r>
      <w:r w:rsidRPr="002B215F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 xml:space="preserve">, 2.8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41BA" w:rsidRDefault="005941BA" w:rsidP="0059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45"/>
        <w:gridCol w:w="3650"/>
        <w:gridCol w:w="742"/>
        <w:gridCol w:w="488"/>
        <w:gridCol w:w="488"/>
        <w:gridCol w:w="461"/>
        <w:gridCol w:w="24"/>
        <w:gridCol w:w="421"/>
        <w:gridCol w:w="24"/>
        <w:gridCol w:w="37"/>
        <w:gridCol w:w="458"/>
        <w:gridCol w:w="24"/>
        <w:gridCol w:w="1351"/>
        <w:gridCol w:w="772"/>
      </w:tblGrid>
      <w:tr w:rsidR="005941BA" w:rsidRPr="00111DE9" w:rsidTr="005941BA">
        <w:trPr>
          <w:trHeight w:val="283"/>
          <w:tblHeader/>
        </w:trPr>
        <w:tc>
          <w:tcPr>
            <w:tcW w:w="353" w:type="pct"/>
            <w:gridSpan w:val="2"/>
            <w:vMerge w:val="restart"/>
            <w:shd w:val="clear" w:color="auto" w:fill="auto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352" w:type="pct"/>
            <w:vMerge w:val="restart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1227" w:type="pct"/>
            <w:gridSpan w:val="9"/>
            <w:shd w:val="clear" w:color="auto" w:fill="auto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733" w:type="pct"/>
            <w:vMerge w:val="restart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405" w:type="pct"/>
            <w:vMerge w:val="restart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5941BA" w:rsidRPr="00111DE9" w:rsidTr="005941BA">
        <w:trPr>
          <w:cantSplit/>
          <w:trHeight w:val="1617"/>
          <w:tblHeader/>
        </w:trPr>
        <w:tc>
          <w:tcPr>
            <w:tcW w:w="353" w:type="pct"/>
            <w:gridSpan w:val="2"/>
            <w:vMerge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28" w:type="pct"/>
            <w:vMerge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52" w:type="pct"/>
            <w:vMerge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70" w:type="pct"/>
            <w:gridSpan w:val="2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203" w:type="pct"/>
            <w:gridSpan w:val="3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14" w:type="pct"/>
            <w:gridSpan w:val="2"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733" w:type="pct"/>
            <w:vMerge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vMerge/>
            <w:shd w:val="clear" w:color="auto" w:fill="auto"/>
            <w:textDirection w:val="btLr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4644" w:type="pct"/>
            <w:gridSpan w:val="1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111DE9">
              <w:rPr>
                <w:rFonts w:ascii="Times New Roman" w:eastAsia="Calibri" w:hAnsi="Times New Roman"/>
                <w:b/>
                <w:bCs/>
                <w:i/>
                <w:szCs w:val="28"/>
              </w:rPr>
              <w:t>Фундаментальные дисциплины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hAnsi="Times New Roman"/>
              </w:rPr>
              <w:t>Законодательные и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Порядок оказания медицинской помощи при острых и хронических профессиональных заболеваниях (отравлениях) на амбулаторном этапе в соответствии с клиническими рекомендациями по вопросам оказания медицинской помощи по </w:t>
            </w:r>
            <w:proofErr w:type="spellStart"/>
            <w:r w:rsidRPr="00111DE9">
              <w:rPr>
                <w:rFonts w:ascii="Times New Roman" w:hAnsi="Times New Roman"/>
              </w:rPr>
              <w:t>профпатологии</w:t>
            </w:r>
            <w:proofErr w:type="spellEnd"/>
            <w:r w:rsidRPr="00111DE9">
              <w:rPr>
                <w:rFonts w:ascii="Times New Roman" w:hAnsi="Times New Roman"/>
              </w:rPr>
              <w:t xml:space="preserve"> с учетом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Перечень профессиональных заболеваний, их эпидемиологии, этиологии, патогенеза, клинической картины, методов диагностики, ТК дифференциальной диагностики и клинических рекомендации ТК (протоколов лечения) по оказанию медицинской помощи,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Методы лабораторных и инструментальных исследований для оценки состояния здоровья, медицинских показаний к проведению исследований, правила интерпретации их результатов Методы лабораторных и инструментальных исследований для оценки состояния здоровья, медицинских показаний к проведению исследований, правила интерпретации их результатов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941BA" w:rsidRPr="00111DE9" w:rsidTr="005941BA">
        <w:trPr>
          <w:trHeight w:val="270"/>
        </w:trPr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eastAsia="Calibri" w:hAnsi="Times New Roman"/>
              </w:rPr>
              <w:t>1.5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Принципы профилактики и лечения профессиональных заболеваний (отравлений), а также реабилитации пациентов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eastAsia="Calibri" w:hAnsi="Times New Roman"/>
              </w:rPr>
              <w:t>1.6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Принципы определения временной или стойкой нетрудоспособности пациентов пострадавших </w:t>
            </w:r>
            <w:r w:rsidRPr="00111DE9">
              <w:rPr>
                <w:rFonts w:ascii="Times New Roman" w:hAnsi="Times New Roman"/>
              </w:rPr>
              <w:lastRenderedPageBreak/>
              <w:t>вследствие профессиональных заболеваний (отравлений)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eastAsia="Calibri" w:hAnsi="Times New Roman"/>
              </w:rPr>
              <w:lastRenderedPageBreak/>
              <w:t>1.7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Правила проведения санитарно-противоэпидемических мероприятий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941BA" w:rsidRPr="00111DE9" w:rsidTr="005941BA">
        <w:tc>
          <w:tcPr>
            <w:tcW w:w="2281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4647" w:type="pct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111DE9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5941BA" w:rsidRPr="00111DE9" w:rsidTr="005941BA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hAnsi="Times New Roman"/>
              </w:rPr>
              <w:t xml:space="preserve">Современные методы применения лекарственных препаратов, медицинских изделий и лечебного питания пациенту при профессиональных заболеваниях (отравлениях) в соответствии с действующими порядка </w:t>
            </w:r>
            <w:proofErr w:type="spellStart"/>
            <w:r w:rsidRPr="00111DE9">
              <w:rPr>
                <w:rFonts w:ascii="Times New Roman" w:hAnsi="Times New Roman"/>
              </w:rPr>
              <w:t>миоказания</w:t>
            </w:r>
            <w:proofErr w:type="spellEnd"/>
            <w:r w:rsidRPr="00111DE9">
              <w:rPr>
                <w:rFonts w:ascii="Times New Roman" w:hAnsi="Times New Roman"/>
              </w:rPr>
              <w:t xml:space="preserve">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Современные методы </w:t>
            </w:r>
            <w:proofErr w:type="spellStart"/>
            <w:r w:rsidRPr="00111DE9">
              <w:rPr>
                <w:rFonts w:ascii="Times New Roman" w:hAnsi="Times New Roman"/>
              </w:rPr>
              <w:t>немедикаментозного</w:t>
            </w:r>
            <w:proofErr w:type="spellEnd"/>
            <w:r w:rsidRPr="00111DE9">
              <w:rPr>
                <w:rFonts w:ascii="Times New Roman" w:hAnsi="Times New Roman"/>
              </w:rPr>
              <w:t xml:space="preserve"> лечения профессиональных болезней (отравлений)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Современные методы профилактики профессиональных заболеваний (отравлений)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4644" w:type="pct"/>
            <w:gridSpan w:val="13"/>
            <w:tcBorders>
              <w:top w:val="single" w:sz="12" w:space="0" w:color="auto"/>
            </w:tcBorders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</w:rPr>
              <w:t>Проведение медицинских осмотров, в том числе предварительных при поступлении на работу, периодических, внеочередных» (А/03.8).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111DE9">
              <w:rPr>
                <w:rFonts w:ascii="Times New Roman" w:hAnsi="Times New Roman"/>
              </w:rPr>
              <w:t>Нормативные правовые акты в Российской Федерации, регламентирующих порядок проведения медицинских осмотров, диспансерного наблюдения пациента с профессиональными заболеваниями (отравлениями)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lastRenderedPageBreak/>
              <w:t>3.2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Медицинские противопоказания (заболевания и состояния) к выполнению работ с вредными и/или опасными условиями труда и отдельных видов работ в соответствии с действующими нормативными правовыми актами Российской Федерации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Структура и организация оказания медицинской помощи работающим во вредных и/или опасных условиях труда и на иных видах работ и пострадавшим вследствие профессионального заболевания (отравления)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3.4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Порядок выдачи листов нетрудоспособности, в том числе в электронном виде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3.5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Медицинские показания для направления пациента пострадавшего вследствие профессионального заболевания (отравления) на медико-социальную экспертизу, в том числе для составления программы реабилитации пострадавшего (ПРП) в результате несчастного случая на производстве и профессионального заболевания и индивидуальной программы реабилитации или </w:t>
            </w:r>
            <w:proofErr w:type="spellStart"/>
            <w:r w:rsidRPr="00111DE9">
              <w:rPr>
                <w:rFonts w:ascii="Times New Roman" w:hAnsi="Times New Roman"/>
              </w:rPr>
              <w:t>абилитации</w:t>
            </w:r>
            <w:proofErr w:type="spellEnd"/>
            <w:r w:rsidRPr="00111DE9">
              <w:rPr>
                <w:rFonts w:ascii="Times New Roman" w:hAnsi="Times New Roman"/>
              </w:rPr>
              <w:t xml:space="preserve"> инвалида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3.6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Требования к оформлению медицинской документации на медико-социальную экспертизу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3.7</w:t>
            </w:r>
          </w:p>
        </w:tc>
        <w:tc>
          <w:tcPr>
            <w:tcW w:w="1928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Порядок диспансерного (динамического) наблюдения пациента с профессиональным заболеванием (отравлением) в соответствии с действующими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2281" w:type="pct"/>
            <w:gridSpan w:val="3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29</w:t>
            </w:r>
          </w:p>
        </w:tc>
        <w:tc>
          <w:tcPr>
            <w:tcW w:w="270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4997" w:type="pct"/>
            <w:gridSpan w:val="15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4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экспертизы профессиональной пригодности и экспертизы связи заболевания с профессией» (А/04.8)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lastRenderedPageBreak/>
              <w:t>4.1</w:t>
            </w:r>
          </w:p>
        </w:tc>
        <w:tc>
          <w:tcPr>
            <w:tcW w:w="1928" w:type="pct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Нормативные правовые акты Российской Федерации, регламентирующие порядок проведения экспертизы профессиональной пригодности работника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Default="005941BA" w:rsidP="00110523">
            <w:pPr>
              <w:jc w:val="center"/>
            </w:pPr>
            <w:r>
              <w:t>ПК-2</w:t>
            </w:r>
          </w:p>
          <w:p w:rsidR="005941BA" w:rsidRDefault="005941BA" w:rsidP="00110523">
            <w:pPr>
              <w:jc w:val="center"/>
            </w:pPr>
            <w:r>
              <w:t>ПК-4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4.2</w:t>
            </w:r>
          </w:p>
        </w:tc>
        <w:tc>
          <w:tcPr>
            <w:tcW w:w="1928" w:type="pct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Медицинские противопоказания (заболевания и состояния) к выполнению работ с вредными и/или опасными условиями труда и отдельных видов работ в соответствии с действующими нормативными правовыми актами Российской Федерации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Default="005941BA" w:rsidP="00110523">
            <w:pPr>
              <w:jc w:val="center"/>
            </w:pPr>
            <w:r>
              <w:t>ПК-2</w:t>
            </w:r>
          </w:p>
          <w:p w:rsidR="005941BA" w:rsidRDefault="005941BA" w:rsidP="00110523">
            <w:pPr>
              <w:jc w:val="center"/>
            </w:pPr>
            <w:r>
              <w:t>ПК-4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4.3</w:t>
            </w:r>
          </w:p>
        </w:tc>
        <w:tc>
          <w:tcPr>
            <w:tcW w:w="1928" w:type="pct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Начальные проявления профессиональных заболеваний (отравлений)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Default="005941BA" w:rsidP="00110523">
            <w:pPr>
              <w:jc w:val="center"/>
            </w:pPr>
            <w:r>
              <w:t>ПК-2  ПК-4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53" w:type="pct"/>
            <w:gridSpan w:val="2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4.4</w:t>
            </w:r>
          </w:p>
        </w:tc>
        <w:tc>
          <w:tcPr>
            <w:tcW w:w="1928" w:type="pct"/>
            <w:shd w:val="clear" w:color="auto" w:fill="auto"/>
          </w:tcPr>
          <w:p w:rsidR="005941BA" w:rsidRPr="00F231BB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Медицинские показания для направления пациента, в том числе пострадавшего вследствие профессионального заболевания (отравления), на медико-социальную экспертизу, в том числе для составления программы реабилитации пострадавшего (ПРП) в результате несчастного случая на производстве и профессионального заболевания и индивидуальной программы реабилитации или реабилитации инвалида</w:t>
            </w:r>
          </w:p>
        </w:tc>
        <w:tc>
          <w:tcPr>
            <w:tcW w:w="352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Default="005941BA" w:rsidP="00110523">
            <w:pPr>
              <w:jc w:val="center"/>
            </w:pPr>
            <w:r>
              <w:t>ПК-2</w:t>
            </w:r>
          </w:p>
          <w:p w:rsidR="005941BA" w:rsidRDefault="005941BA" w:rsidP="00110523">
            <w:pPr>
              <w:jc w:val="center"/>
            </w:pPr>
            <w:r>
              <w:t>ПК-4</w:t>
            </w:r>
          </w:p>
          <w:p w:rsidR="005941BA" w:rsidRPr="00111DE9" w:rsidRDefault="005941BA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2281" w:type="pct"/>
            <w:gridSpan w:val="3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23</w:t>
            </w:r>
          </w:p>
        </w:tc>
        <w:tc>
          <w:tcPr>
            <w:tcW w:w="270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4997" w:type="pct"/>
            <w:gridSpan w:val="15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5</w:t>
            </w:r>
          </w:p>
          <w:p w:rsidR="005941BA" w:rsidRPr="00111DE9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и контроль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E2BC2">
              <w:rPr>
                <w:rFonts w:ascii="Times New Roman" w:eastAsia="Calibri" w:hAnsi="Times New Roman"/>
                <w:b/>
                <w:lang w:eastAsia="en-US"/>
              </w:rPr>
              <w:t>эффективности мероприятий по про</w:t>
            </w:r>
            <w:r>
              <w:rPr>
                <w:rFonts w:ascii="Times New Roman" w:eastAsia="Calibri" w:hAnsi="Times New Roman"/>
                <w:b/>
                <w:lang w:eastAsia="en-US"/>
              </w:rPr>
              <w:t>филактике возникновения профессиональных заболеваний, формированию здорового образа жизни, санитарно-гигиеническому просвещению» (А/05.8)</w:t>
            </w:r>
          </w:p>
        </w:tc>
      </w:tr>
      <w:tr w:rsidR="005941BA" w:rsidRPr="00111DE9" w:rsidTr="005941BA">
        <w:tc>
          <w:tcPr>
            <w:tcW w:w="322" w:type="pct"/>
            <w:shd w:val="clear" w:color="auto" w:fill="auto"/>
          </w:tcPr>
          <w:p w:rsidR="005941BA" w:rsidRPr="009C0E40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t>5.1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5941BA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Нормативные правовые акты, регламентирующие порядки проведения диспансеризации и диспансерного наблюдения пациента при профессиональных заболеваниях и групп риска развития профессиональных заболеваний.</w:t>
            </w:r>
          </w:p>
          <w:p w:rsidR="005941BA" w:rsidRPr="009C0E40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5941BA" w:rsidRPr="009C0E4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9C0E4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9C0E4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9C0E4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9C0E4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9C0E4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9C0E40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ПК-1</w:t>
            </w:r>
          </w:p>
          <w:p w:rsidR="005941BA" w:rsidRPr="009C0E40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ПК-8</w:t>
            </w:r>
          </w:p>
          <w:p w:rsidR="005941BA" w:rsidRPr="009C0E40" w:rsidRDefault="005941BA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5941BA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5941BA" w:rsidRPr="009C0E4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111DE9" w:rsidTr="005941BA">
        <w:tc>
          <w:tcPr>
            <w:tcW w:w="322" w:type="pct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Требования к оформлению документации</w:t>
            </w:r>
          </w:p>
        </w:tc>
        <w:tc>
          <w:tcPr>
            <w:tcW w:w="352" w:type="pct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5941BA" w:rsidRPr="00DD4A80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5941BA" w:rsidRPr="00DD4A80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5941BA" w:rsidRPr="00DD4A80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lastRenderedPageBreak/>
              <w:t>ПК-10</w:t>
            </w:r>
          </w:p>
          <w:p w:rsidR="005941BA" w:rsidRPr="00DD4A80" w:rsidRDefault="005941BA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5941BA" w:rsidRPr="00DD4A8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5941BA" w:rsidRPr="00AD250C" w:rsidTr="005941BA">
        <w:tc>
          <w:tcPr>
            <w:tcW w:w="22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lastRenderedPageBreak/>
              <w:t xml:space="preserve">Трудоемкость рабочей программы 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941BA" w:rsidRPr="00AD250C" w:rsidTr="005941BA">
        <w:tc>
          <w:tcPr>
            <w:tcW w:w="228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5941BA" w:rsidRPr="00AD250C" w:rsidTr="005941BA">
        <w:trPr>
          <w:trHeight w:val="365"/>
        </w:trPr>
        <w:tc>
          <w:tcPr>
            <w:tcW w:w="228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3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102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64</w:t>
            </w:r>
          </w:p>
        </w:tc>
        <w:tc>
          <w:tcPr>
            <w:tcW w:w="25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941BA" w:rsidRPr="00073130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vMerge/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vMerge/>
            <w:shd w:val="clear" w:color="auto" w:fill="D9D9D9"/>
            <w:vAlign w:val="center"/>
          </w:tcPr>
          <w:p w:rsidR="005941BA" w:rsidRPr="00AD250C" w:rsidRDefault="005941BA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5941BA" w:rsidRPr="00AD250C" w:rsidRDefault="005941BA" w:rsidP="0059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1BA"/>
    <w:rsid w:val="002C413D"/>
    <w:rsid w:val="005941BA"/>
    <w:rsid w:val="007E7AC1"/>
    <w:rsid w:val="00A1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2022-04-04T04:50:00Z</dcterms:created>
  <dcterms:modified xsi:type="dcterms:W3CDTF">2022-04-04T04:50:00Z</dcterms:modified>
</cp:coreProperties>
</file>